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F150E2" w14:textId="77777777" w:rsidR="008C489C" w:rsidRDefault="008C489C" w:rsidP="008C489C">
      <w:pPr>
        <w:rPr>
          <w:rFonts w:eastAsia="Times New Roman" w:cstheme="minorHAnsi"/>
          <w:i/>
          <w:iCs/>
          <w:color w:val="000000" w:themeColor="text1"/>
        </w:rPr>
      </w:pPr>
      <w:proofErr w:type="gramStart"/>
      <w:r>
        <w:rPr>
          <w:rFonts w:eastAsia="Times New Roman" w:cstheme="minorHAnsi"/>
          <w:b/>
          <w:bCs/>
          <w:i/>
          <w:iCs/>
          <w:color w:val="000000" w:themeColor="text1"/>
        </w:rPr>
        <w:t>2.5  CHARGING</w:t>
      </w:r>
      <w:proofErr w:type="gramEnd"/>
      <w:r>
        <w:rPr>
          <w:rFonts w:eastAsia="Times New Roman" w:cstheme="minorHAnsi"/>
          <w:b/>
          <w:bCs/>
          <w:i/>
          <w:iCs/>
          <w:color w:val="000000" w:themeColor="text1"/>
        </w:rPr>
        <w:t xml:space="preserve"> – EVALUATION OF CONFESSION AND/OR ADMISSION</w:t>
      </w:r>
    </w:p>
    <w:p w14:paraId="24B8E517" w14:textId="77777777" w:rsidR="008C489C" w:rsidRDefault="008C489C" w:rsidP="008C489C">
      <w:pPr>
        <w:rPr>
          <w:rFonts w:eastAsia="Times New Roman" w:cstheme="minorHAnsi"/>
          <w:i/>
          <w:iCs/>
          <w:color w:val="000000" w:themeColor="text1"/>
        </w:rPr>
      </w:pPr>
      <w:r>
        <w:rPr>
          <w:rFonts w:eastAsia="Times New Roman" w:cstheme="minorHAnsi"/>
          <w:i/>
          <w:iCs/>
          <w:color w:val="000000" w:themeColor="text1"/>
        </w:rPr>
        <w:t xml:space="preserve">Prosecutors, it is expected that you will hold accountable those who commit crime through ethical, fair, and impartial prosecution under the law. As part of this commitment, you shall strive equally to both convict the guilty and to exonerate the innocent. One aspect of this mission is to ensure that we avoid utilizing false confessions to obtain convictions. Certain interrogation techniques are more likely to produce false confessions (described below). Using these unreliable confessions to obtain a guilty verdict can result in a wrongful conviction and undermine confidence in the justice system. </w:t>
      </w:r>
    </w:p>
    <w:p w14:paraId="643967EA" w14:textId="77777777" w:rsidR="008C489C" w:rsidRDefault="008C489C" w:rsidP="008C489C">
      <w:pPr>
        <w:rPr>
          <w:rFonts w:eastAsia="Times New Roman" w:cstheme="minorHAnsi"/>
          <w:i/>
          <w:iCs/>
          <w:color w:val="000000" w:themeColor="text1"/>
        </w:rPr>
      </w:pPr>
      <w:r>
        <w:rPr>
          <w:rFonts w:eastAsia="Times New Roman" w:cstheme="minorHAnsi"/>
          <w:i/>
          <w:iCs/>
          <w:color w:val="000000" w:themeColor="text1"/>
        </w:rPr>
        <w:t xml:space="preserve">A growing body of research indicates confession-centered interrogation techniques that rely on pseudoscientific “truth detection”, including assessing behavioral clues of deception, and administering psychological manipulation through minimization, maximization, false evidence ploys, projection, and rationalization pose an unacceptable risk of false confessions. Further, these false confessions result in wrongful convictions and factually guilty subjects evading justice. Moreover, despite the prevalence of these techniques, whether labeled as the Reid Technique or another name with same or similar foundational principles, there exists scant evidence of their ability to produce verifiable and reliable evidence. </w:t>
      </w:r>
    </w:p>
    <w:p w14:paraId="09545D91" w14:textId="77777777" w:rsidR="008C489C" w:rsidRDefault="008C489C" w:rsidP="008C489C">
      <w:pPr>
        <w:rPr>
          <w:rFonts w:eastAsia="Times New Roman" w:cstheme="minorHAnsi"/>
          <w:i/>
          <w:iCs/>
          <w:color w:val="000000" w:themeColor="text1"/>
        </w:rPr>
      </w:pPr>
      <w:r>
        <w:rPr>
          <w:rFonts w:eastAsia="Times New Roman" w:cstheme="minorHAnsi"/>
          <w:i/>
          <w:iCs/>
          <w:color w:val="000000" w:themeColor="text1"/>
        </w:rPr>
        <w:t>Instead, an increasing body of research, much of which was funded by the High Value Detainee Interrogation Group (HIG), reveals that science-based interviewing that employs rapport-based information-gathering approaches, such as ORBIT (the foundation of rapport-building strategies encompassing the HEEAAR principle and interpersonal behavioral wheels - developed by Laurence and Emily Alison), coupled with other strategies like the cognitive interview, open-ended questions, funneling, and strategic use of evidence are actually demonstrably effective. California POST has developed a science-based interviewing curriculum employing these strategies.</w:t>
      </w:r>
    </w:p>
    <w:p w14:paraId="04964A30" w14:textId="77777777" w:rsidR="008C489C" w:rsidRDefault="008C489C" w:rsidP="008C489C">
      <w:pPr>
        <w:rPr>
          <w:rFonts w:cstheme="minorHAnsi"/>
          <w:i/>
          <w:iCs/>
        </w:rPr>
      </w:pPr>
      <w:r>
        <w:rPr>
          <w:rFonts w:eastAsia="Times New Roman" w:cstheme="minorHAnsi"/>
          <w:i/>
          <w:iCs/>
          <w:color w:val="000000" w:themeColor="text1"/>
        </w:rPr>
        <w:t xml:space="preserve">Consistent with the standards set forth in Charging Policy #1 &amp; 2, Deputy District Attorneys shall reject any case where the primary evidence consists of an admission or confession obtained by the employment of threats, deception, or psychologically manipulative interrogation tactics. “Primary evidence” means that, </w:t>
      </w:r>
      <w:r>
        <w:rPr>
          <w:rFonts w:eastAsia="Times New Roman" w:cstheme="minorHAnsi"/>
          <w:b/>
          <w:bCs/>
          <w:i/>
          <w:iCs/>
          <w:color w:val="000000" w:themeColor="text1"/>
        </w:rPr>
        <w:t>but for</w:t>
      </w:r>
      <w:r>
        <w:rPr>
          <w:rFonts w:eastAsia="Times New Roman" w:cstheme="minorHAnsi"/>
          <w:i/>
          <w:iCs/>
          <w:color w:val="000000" w:themeColor="text1"/>
        </w:rPr>
        <w:t xml:space="preserve"> the admission or confession, no reasonable jury would determine that the defendant is guilty beyond a reasonable doubt.  </w:t>
      </w:r>
    </w:p>
    <w:p w14:paraId="14A8C3FE" w14:textId="77777777" w:rsidR="008C489C" w:rsidRDefault="008C489C" w:rsidP="008C489C">
      <w:pPr>
        <w:rPr>
          <w:rFonts w:cstheme="minorHAnsi"/>
          <w:i/>
          <w:iCs/>
        </w:rPr>
      </w:pPr>
      <w:r>
        <w:rPr>
          <w:rFonts w:eastAsia="Times New Roman" w:cstheme="minorHAnsi"/>
          <w:i/>
          <w:iCs/>
          <w:color w:val="000000" w:themeColor="text1"/>
        </w:rPr>
        <w:t>“Deception” includes, but is not limited to, the knowing communication of false facts about evidence, misrepresenting the accuracy of the facts, and/or false statements regarding leniency.</w:t>
      </w:r>
    </w:p>
    <w:p w14:paraId="2973B5BA" w14:textId="77777777" w:rsidR="008C489C" w:rsidRDefault="008C489C" w:rsidP="008C489C">
      <w:pPr>
        <w:rPr>
          <w:rFonts w:cstheme="minorHAnsi"/>
          <w:i/>
          <w:iCs/>
        </w:rPr>
      </w:pPr>
      <w:r>
        <w:rPr>
          <w:rFonts w:eastAsia="Times New Roman" w:cstheme="minorHAnsi"/>
          <w:i/>
          <w:iCs/>
          <w:color w:val="000000" w:themeColor="text1"/>
        </w:rPr>
        <w:t>“Psychologically manipulative interrogation tactics” include, but are not limited to, the following:</w:t>
      </w:r>
    </w:p>
    <w:p w14:paraId="570F5ADD" w14:textId="77777777" w:rsidR="008C489C" w:rsidRDefault="008C489C" w:rsidP="008C489C">
      <w:pPr>
        <w:rPr>
          <w:rFonts w:cstheme="minorHAnsi"/>
          <w:i/>
          <w:iCs/>
        </w:rPr>
      </w:pPr>
      <w:r>
        <w:rPr>
          <w:rFonts w:eastAsia="Times New Roman" w:cstheme="minorHAnsi"/>
          <w:i/>
          <w:iCs/>
          <w:color w:val="000000" w:themeColor="text1"/>
        </w:rPr>
        <w:t>(A) Maximization, minimization, and other interrogation practices that rely on the presumption of guilt or deceit.</w:t>
      </w:r>
    </w:p>
    <w:p w14:paraId="031DB644" w14:textId="77777777" w:rsidR="008C489C" w:rsidRDefault="008C489C" w:rsidP="008C489C">
      <w:pPr>
        <w:rPr>
          <w:rFonts w:cstheme="minorHAnsi"/>
          <w:i/>
          <w:iCs/>
        </w:rPr>
      </w:pPr>
      <w:r>
        <w:rPr>
          <w:rFonts w:eastAsia="Times New Roman" w:cstheme="minorHAnsi"/>
          <w:i/>
          <w:iCs/>
          <w:color w:val="000000" w:themeColor="text1"/>
        </w:rPr>
        <w:t xml:space="preserve">(1) Maximization includes techniques to scare or intimidate the subject by repetitively asserting the subject is guilty despite their denials, or falsely exaggerating the magnitude of the charges or strength of the evidence. This can include suggesting the existence of evidence that does not exist. Maximization does not include accurate and genuine statements of the evidence or potential charges faced by the </w:t>
      </w:r>
      <w:r>
        <w:rPr>
          <w:rFonts w:eastAsia="Times New Roman" w:cstheme="minorHAnsi"/>
          <w:i/>
          <w:iCs/>
          <w:color w:val="000000" w:themeColor="text1"/>
        </w:rPr>
        <w:lastRenderedPageBreak/>
        <w:t>subject.</w:t>
      </w:r>
    </w:p>
    <w:p w14:paraId="25E60A59" w14:textId="77777777" w:rsidR="008C489C" w:rsidRDefault="008C489C" w:rsidP="008C489C">
      <w:pPr>
        <w:rPr>
          <w:rFonts w:cstheme="minorHAnsi"/>
          <w:i/>
          <w:iCs/>
        </w:rPr>
      </w:pPr>
      <w:r>
        <w:rPr>
          <w:rFonts w:eastAsia="Times New Roman" w:cstheme="minorHAnsi"/>
          <w:i/>
          <w:iCs/>
          <w:color w:val="000000" w:themeColor="text1"/>
        </w:rPr>
        <w:t>(2) Minimization involves minimizing the moral seriousness of the offense, a tactic that falsely communicates that the conduct is justified, excusable, or accidental. Minimization does not include repeating back to the subject their own minimization of the offense or their involvement.</w:t>
      </w:r>
    </w:p>
    <w:p w14:paraId="0527C24B" w14:textId="77777777" w:rsidR="008C489C" w:rsidRDefault="008C489C" w:rsidP="008C489C">
      <w:pPr>
        <w:rPr>
          <w:rFonts w:cstheme="minorHAnsi"/>
          <w:i/>
          <w:iCs/>
        </w:rPr>
      </w:pPr>
      <w:r>
        <w:rPr>
          <w:rFonts w:eastAsia="Times New Roman" w:cstheme="minorHAnsi"/>
          <w:i/>
          <w:iCs/>
          <w:color w:val="000000" w:themeColor="text1"/>
        </w:rPr>
        <w:t>(B) Making direct or indirect promises of leniency, such as indicating the subject will be released if they cooperate.</w:t>
      </w:r>
    </w:p>
    <w:p w14:paraId="61556613" w14:textId="77777777" w:rsidR="008C489C" w:rsidRDefault="008C489C" w:rsidP="008C489C">
      <w:pPr>
        <w:rPr>
          <w:rFonts w:cstheme="minorHAnsi"/>
          <w:i/>
          <w:iCs/>
        </w:rPr>
      </w:pPr>
      <w:r>
        <w:rPr>
          <w:rFonts w:eastAsia="Times New Roman" w:cstheme="minorHAnsi"/>
          <w:i/>
          <w:iCs/>
          <w:color w:val="000000" w:themeColor="text1"/>
        </w:rPr>
        <w:t>(C) Employing the “false” or “forced” choice strategy, where the subject is encouraged to select one of two options, both incriminatory, but one is characterized as morally or legally justified or excusable.</w:t>
      </w:r>
    </w:p>
    <w:p w14:paraId="2439D4E6" w14:textId="77777777" w:rsidR="008C489C" w:rsidRDefault="008C489C" w:rsidP="008C489C">
      <w:pPr>
        <w:rPr>
          <w:rFonts w:cstheme="minorHAnsi"/>
          <w:i/>
          <w:iCs/>
        </w:rPr>
      </w:pPr>
      <w:r>
        <w:rPr>
          <w:rFonts w:eastAsia="Times New Roman" w:cstheme="minorHAnsi"/>
          <w:i/>
          <w:iCs/>
          <w:color w:val="000000" w:themeColor="text1"/>
        </w:rPr>
        <w:t>Exceptions to this Policy:</w:t>
      </w:r>
    </w:p>
    <w:p w14:paraId="59A947E8" w14:textId="77777777" w:rsidR="008C489C" w:rsidRDefault="008C489C" w:rsidP="008C489C">
      <w:pPr>
        <w:rPr>
          <w:rFonts w:cstheme="minorHAnsi"/>
          <w:i/>
          <w:iCs/>
        </w:rPr>
      </w:pPr>
      <w:r>
        <w:rPr>
          <w:rFonts w:eastAsia="Times New Roman" w:cstheme="minorHAnsi"/>
          <w:i/>
          <w:iCs/>
          <w:color w:val="000000" w:themeColor="text1"/>
        </w:rPr>
        <w:t>This policy does not apply to interrogations by a law enforcement officer who questioned the person reasonably believing that the information the officer sought was necessary to protect life or property from an imminent threat, and the questions by law enforcement officers were limited to those questions that were reasonably necessary to obtain information related to the imminent threat. Nor does this policy apply to undercover operations or pretext communications.</w:t>
      </w:r>
    </w:p>
    <w:p w14:paraId="4E386CA4" w14:textId="77777777" w:rsidR="008C489C" w:rsidRDefault="008C489C" w:rsidP="008C489C">
      <w:pPr>
        <w:rPr>
          <w:rFonts w:cstheme="minorHAnsi"/>
          <w:i/>
          <w:iCs/>
        </w:rPr>
      </w:pPr>
      <w:r>
        <w:rPr>
          <w:rFonts w:eastAsia="Times New Roman" w:cstheme="minorHAnsi"/>
          <w:i/>
          <w:iCs/>
          <w:color w:val="000000" w:themeColor="text1"/>
        </w:rPr>
        <w:t>Additionally, when appropriate on a case-by-case basis, Deputy District Attorneys may seek an exception from this policy with the express written approval of the District Attorney.</w:t>
      </w:r>
    </w:p>
    <w:p w14:paraId="65ACB5DA" w14:textId="77777777" w:rsidR="008C489C" w:rsidRDefault="008C489C" w:rsidP="008C489C">
      <w:pPr>
        <w:rPr>
          <w:rFonts w:cstheme="minorHAnsi"/>
          <w:i/>
          <w:iCs/>
        </w:rPr>
      </w:pPr>
      <w:r>
        <w:rPr>
          <w:rFonts w:eastAsia="Times New Roman" w:cstheme="minorHAnsi"/>
          <w:i/>
          <w:iCs/>
          <w:color w:val="000000" w:themeColor="text1"/>
        </w:rPr>
        <w:t>Prospective:</w:t>
      </w:r>
    </w:p>
    <w:p w14:paraId="2DC96A14" w14:textId="77777777" w:rsidR="008C489C" w:rsidRDefault="008C489C" w:rsidP="008C489C">
      <w:pPr>
        <w:rPr>
          <w:rFonts w:eastAsia="Times New Roman" w:cstheme="minorHAnsi"/>
          <w:i/>
          <w:iCs/>
          <w:color w:val="000000" w:themeColor="text1"/>
        </w:rPr>
      </w:pPr>
      <w:r>
        <w:rPr>
          <w:rFonts w:eastAsia="Times New Roman" w:cstheme="minorHAnsi"/>
          <w:i/>
          <w:iCs/>
          <w:color w:val="000000" w:themeColor="text1"/>
        </w:rPr>
        <w:t xml:space="preserve">Deputy District Attorneys who are aware of any case, whether pending or closed, that falls within the parameters of this policy shall immediately notify an Assistant District Attorney who will evaluate the case pursuant to our Conviction Review Policy and make appropriate recommendations to the Chief Assistant Deputy and the District Attorney. </w:t>
      </w:r>
    </w:p>
    <w:p w14:paraId="50E183FA" w14:textId="22F73ABD" w:rsidR="00A5022D" w:rsidRDefault="008C489C" w:rsidP="008C489C">
      <w:r>
        <w:t>Vern Pierson, District Attorney</w:t>
      </w:r>
    </w:p>
    <w:sectPr w:rsidR="00A502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489C"/>
    <w:rsid w:val="0005007C"/>
    <w:rsid w:val="0005577F"/>
    <w:rsid w:val="00057162"/>
    <w:rsid w:val="0006296D"/>
    <w:rsid w:val="000741D0"/>
    <w:rsid w:val="000A4E19"/>
    <w:rsid w:val="000D636B"/>
    <w:rsid w:val="000F54DF"/>
    <w:rsid w:val="000F5CEE"/>
    <w:rsid w:val="001434F3"/>
    <w:rsid w:val="00164305"/>
    <w:rsid w:val="0017522F"/>
    <w:rsid w:val="00176BE8"/>
    <w:rsid w:val="001917BA"/>
    <w:rsid w:val="00191AEC"/>
    <w:rsid w:val="001A0894"/>
    <w:rsid w:val="001C3FA9"/>
    <w:rsid w:val="001D6D98"/>
    <w:rsid w:val="001F527F"/>
    <w:rsid w:val="00205CB3"/>
    <w:rsid w:val="00207733"/>
    <w:rsid w:val="002525B3"/>
    <w:rsid w:val="00263C97"/>
    <w:rsid w:val="00267670"/>
    <w:rsid w:val="002702A1"/>
    <w:rsid w:val="00297BC9"/>
    <w:rsid w:val="002A6741"/>
    <w:rsid w:val="002D1737"/>
    <w:rsid w:val="002F66D6"/>
    <w:rsid w:val="00321BD7"/>
    <w:rsid w:val="00324ED2"/>
    <w:rsid w:val="00362D3C"/>
    <w:rsid w:val="00370594"/>
    <w:rsid w:val="00370797"/>
    <w:rsid w:val="00395703"/>
    <w:rsid w:val="003A43C1"/>
    <w:rsid w:val="003B344B"/>
    <w:rsid w:val="003C4018"/>
    <w:rsid w:val="003D5DCA"/>
    <w:rsid w:val="0041255F"/>
    <w:rsid w:val="004213DA"/>
    <w:rsid w:val="004231B9"/>
    <w:rsid w:val="0042590A"/>
    <w:rsid w:val="00456369"/>
    <w:rsid w:val="00457591"/>
    <w:rsid w:val="004723A0"/>
    <w:rsid w:val="00480E44"/>
    <w:rsid w:val="0049456B"/>
    <w:rsid w:val="004953A2"/>
    <w:rsid w:val="00497E8C"/>
    <w:rsid w:val="004A5B07"/>
    <w:rsid w:val="004C2F86"/>
    <w:rsid w:val="004E469F"/>
    <w:rsid w:val="004F3F05"/>
    <w:rsid w:val="00536874"/>
    <w:rsid w:val="00540A81"/>
    <w:rsid w:val="00553094"/>
    <w:rsid w:val="005768E8"/>
    <w:rsid w:val="00584016"/>
    <w:rsid w:val="00584025"/>
    <w:rsid w:val="00584339"/>
    <w:rsid w:val="005A105E"/>
    <w:rsid w:val="005A2B5C"/>
    <w:rsid w:val="005A77A5"/>
    <w:rsid w:val="005C1503"/>
    <w:rsid w:val="005D34FA"/>
    <w:rsid w:val="005D7DDB"/>
    <w:rsid w:val="005E15C0"/>
    <w:rsid w:val="00600E3A"/>
    <w:rsid w:val="00604307"/>
    <w:rsid w:val="0063677F"/>
    <w:rsid w:val="0064152F"/>
    <w:rsid w:val="00651293"/>
    <w:rsid w:val="00651609"/>
    <w:rsid w:val="006624CC"/>
    <w:rsid w:val="006671EE"/>
    <w:rsid w:val="00683C9D"/>
    <w:rsid w:val="006879CF"/>
    <w:rsid w:val="006A0F73"/>
    <w:rsid w:val="006A14F3"/>
    <w:rsid w:val="006B303B"/>
    <w:rsid w:val="006D5C97"/>
    <w:rsid w:val="006F0142"/>
    <w:rsid w:val="006F2131"/>
    <w:rsid w:val="0071618C"/>
    <w:rsid w:val="00722617"/>
    <w:rsid w:val="00780AB5"/>
    <w:rsid w:val="007816F1"/>
    <w:rsid w:val="007B05A5"/>
    <w:rsid w:val="007B5005"/>
    <w:rsid w:val="007B5327"/>
    <w:rsid w:val="007D0135"/>
    <w:rsid w:val="007D46A3"/>
    <w:rsid w:val="00807270"/>
    <w:rsid w:val="00807762"/>
    <w:rsid w:val="00826BEF"/>
    <w:rsid w:val="00837747"/>
    <w:rsid w:val="008518E5"/>
    <w:rsid w:val="00852BD4"/>
    <w:rsid w:val="008655A2"/>
    <w:rsid w:val="008A1601"/>
    <w:rsid w:val="008C489C"/>
    <w:rsid w:val="008D0154"/>
    <w:rsid w:val="008E5B31"/>
    <w:rsid w:val="008F06E4"/>
    <w:rsid w:val="008F588D"/>
    <w:rsid w:val="00917A48"/>
    <w:rsid w:val="0093585D"/>
    <w:rsid w:val="009408D3"/>
    <w:rsid w:val="009432F6"/>
    <w:rsid w:val="00943DFB"/>
    <w:rsid w:val="00944175"/>
    <w:rsid w:val="009720CE"/>
    <w:rsid w:val="0097333B"/>
    <w:rsid w:val="009C0605"/>
    <w:rsid w:val="009C11D3"/>
    <w:rsid w:val="009C7B11"/>
    <w:rsid w:val="009D7571"/>
    <w:rsid w:val="00A0157E"/>
    <w:rsid w:val="00A11FEA"/>
    <w:rsid w:val="00A357E8"/>
    <w:rsid w:val="00A5022D"/>
    <w:rsid w:val="00A618D3"/>
    <w:rsid w:val="00A61E36"/>
    <w:rsid w:val="00A6331F"/>
    <w:rsid w:val="00A67D8D"/>
    <w:rsid w:val="00AA655D"/>
    <w:rsid w:val="00AB2C25"/>
    <w:rsid w:val="00AB4BB4"/>
    <w:rsid w:val="00AB5D36"/>
    <w:rsid w:val="00AC4C05"/>
    <w:rsid w:val="00AD23C4"/>
    <w:rsid w:val="00B25ACF"/>
    <w:rsid w:val="00B56B71"/>
    <w:rsid w:val="00B57ACF"/>
    <w:rsid w:val="00B93E14"/>
    <w:rsid w:val="00B95A2F"/>
    <w:rsid w:val="00B977B1"/>
    <w:rsid w:val="00BA79CD"/>
    <w:rsid w:val="00BD37CB"/>
    <w:rsid w:val="00BF0D50"/>
    <w:rsid w:val="00C03DAE"/>
    <w:rsid w:val="00C2369D"/>
    <w:rsid w:val="00C34738"/>
    <w:rsid w:val="00C560B2"/>
    <w:rsid w:val="00C57293"/>
    <w:rsid w:val="00C83641"/>
    <w:rsid w:val="00C85DD9"/>
    <w:rsid w:val="00CA62FA"/>
    <w:rsid w:val="00CC223E"/>
    <w:rsid w:val="00CD0C98"/>
    <w:rsid w:val="00CF238A"/>
    <w:rsid w:val="00CF253B"/>
    <w:rsid w:val="00D2287D"/>
    <w:rsid w:val="00D57244"/>
    <w:rsid w:val="00D63FB4"/>
    <w:rsid w:val="00D72DAE"/>
    <w:rsid w:val="00D764C3"/>
    <w:rsid w:val="00DC00FC"/>
    <w:rsid w:val="00E02759"/>
    <w:rsid w:val="00E1171E"/>
    <w:rsid w:val="00E26AA0"/>
    <w:rsid w:val="00E32C5D"/>
    <w:rsid w:val="00E728EE"/>
    <w:rsid w:val="00EA2913"/>
    <w:rsid w:val="00EA5163"/>
    <w:rsid w:val="00EA5303"/>
    <w:rsid w:val="00EC4F2B"/>
    <w:rsid w:val="00EC7217"/>
    <w:rsid w:val="00EE0D27"/>
    <w:rsid w:val="00EE0DCB"/>
    <w:rsid w:val="00EE4F45"/>
    <w:rsid w:val="00EE623B"/>
    <w:rsid w:val="00EE7A9D"/>
    <w:rsid w:val="00EE7DDB"/>
    <w:rsid w:val="00F044B7"/>
    <w:rsid w:val="00F17EAE"/>
    <w:rsid w:val="00F235A4"/>
    <w:rsid w:val="00F251AD"/>
    <w:rsid w:val="00F3744E"/>
    <w:rsid w:val="00F56810"/>
    <w:rsid w:val="00FA5DE2"/>
    <w:rsid w:val="00FC6629"/>
    <w:rsid w:val="00FC7089"/>
    <w:rsid w:val="00FD132B"/>
    <w:rsid w:val="00FD1C4A"/>
    <w:rsid w:val="00FD7A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49DABC"/>
  <w15:chartTrackingRefBased/>
  <w15:docId w15:val="{7DCE92B3-A0A2-4557-BD43-8BB71B4736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489C"/>
    <w:pPr>
      <w:widowControl w:val="0"/>
      <w:spacing w:after="200" w:line="276" w:lineRule="auto"/>
    </w:pPr>
    <w:rPr>
      <w:kern w:val="0"/>
      <w14:ligatures w14:val="none"/>
    </w:rPr>
  </w:style>
  <w:style w:type="paragraph" w:styleId="Heading1">
    <w:name w:val="heading 1"/>
    <w:basedOn w:val="Normal"/>
    <w:next w:val="Normal"/>
    <w:link w:val="Heading1Char"/>
    <w:uiPriority w:val="9"/>
    <w:qFormat/>
    <w:rsid w:val="008C489C"/>
    <w:pPr>
      <w:keepNext/>
      <w:keepLines/>
      <w:widowControl/>
      <w:spacing w:before="360" w:after="80" w:line="259"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8C489C"/>
    <w:pPr>
      <w:keepNext/>
      <w:keepLines/>
      <w:widowControl/>
      <w:spacing w:before="160" w:after="80" w:line="259"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8C489C"/>
    <w:pPr>
      <w:keepNext/>
      <w:keepLines/>
      <w:widowControl/>
      <w:spacing w:before="160" w:after="80" w:line="259" w:lineRule="auto"/>
      <w:outlineLvl w:val="2"/>
    </w:pPr>
    <w:rPr>
      <w:rFonts w:eastAsiaTheme="majorEastAsia"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8C489C"/>
    <w:pPr>
      <w:keepNext/>
      <w:keepLines/>
      <w:widowControl/>
      <w:spacing w:before="80" w:after="40" w:line="259" w:lineRule="auto"/>
      <w:outlineLvl w:val="3"/>
    </w:pPr>
    <w:rPr>
      <w:rFonts w:eastAsiaTheme="majorEastAsia" w:cstheme="majorBidi"/>
      <w:i/>
      <w:iCs/>
      <w:color w:val="2F5496"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8C489C"/>
    <w:pPr>
      <w:keepNext/>
      <w:keepLines/>
      <w:widowControl/>
      <w:spacing w:before="80" w:after="40" w:line="259" w:lineRule="auto"/>
      <w:outlineLvl w:val="4"/>
    </w:pPr>
    <w:rPr>
      <w:rFonts w:eastAsiaTheme="majorEastAsia" w:cstheme="majorBidi"/>
      <w:color w:val="2F5496"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8C489C"/>
    <w:pPr>
      <w:keepNext/>
      <w:keepLines/>
      <w:widowControl/>
      <w:spacing w:before="40" w:after="0" w:line="259" w:lineRule="auto"/>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8C489C"/>
    <w:pPr>
      <w:keepNext/>
      <w:keepLines/>
      <w:widowControl/>
      <w:spacing w:before="40" w:after="0" w:line="259" w:lineRule="auto"/>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8C489C"/>
    <w:pPr>
      <w:keepNext/>
      <w:keepLines/>
      <w:widowControl/>
      <w:spacing w:after="0" w:line="259" w:lineRule="auto"/>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8C489C"/>
    <w:pPr>
      <w:keepNext/>
      <w:keepLines/>
      <w:widowControl/>
      <w:spacing w:after="0" w:line="259" w:lineRule="auto"/>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489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C489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C489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C489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C489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C489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489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489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489C"/>
    <w:rPr>
      <w:rFonts w:eastAsiaTheme="majorEastAsia" w:cstheme="majorBidi"/>
      <w:color w:val="272727" w:themeColor="text1" w:themeTint="D8"/>
    </w:rPr>
  </w:style>
  <w:style w:type="paragraph" w:styleId="Title">
    <w:name w:val="Title"/>
    <w:basedOn w:val="Normal"/>
    <w:next w:val="Normal"/>
    <w:link w:val="TitleChar"/>
    <w:uiPriority w:val="10"/>
    <w:qFormat/>
    <w:rsid w:val="008C489C"/>
    <w:pPr>
      <w:widowControl/>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8C489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489C"/>
    <w:pPr>
      <w:widowControl/>
      <w:numPr>
        <w:ilvl w:val="1"/>
      </w:numPr>
      <w:spacing w:after="160" w:line="259"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8C489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489C"/>
    <w:pPr>
      <w:widowControl/>
      <w:spacing w:before="160" w:after="160" w:line="259" w:lineRule="auto"/>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8C489C"/>
    <w:rPr>
      <w:i/>
      <w:iCs/>
      <w:color w:val="404040" w:themeColor="text1" w:themeTint="BF"/>
    </w:rPr>
  </w:style>
  <w:style w:type="paragraph" w:styleId="ListParagraph">
    <w:name w:val="List Paragraph"/>
    <w:basedOn w:val="Normal"/>
    <w:uiPriority w:val="34"/>
    <w:qFormat/>
    <w:rsid w:val="008C489C"/>
    <w:pPr>
      <w:widowControl/>
      <w:spacing w:after="160" w:line="259" w:lineRule="auto"/>
      <w:ind w:left="720"/>
      <w:contextualSpacing/>
    </w:pPr>
    <w:rPr>
      <w:kern w:val="2"/>
      <w14:ligatures w14:val="standardContextual"/>
    </w:rPr>
  </w:style>
  <w:style w:type="character" w:styleId="IntenseEmphasis">
    <w:name w:val="Intense Emphasis"/>
    <w:basedOn w:val="DefaultParagraphFont"/>
    <w:uiPriority w:val="21"/>
    <w:qFormat/>
    <w:rsid w:val="008C489C"/>
    <w:rPr>
      <w:i/>
      <w:iCs/>
      <w:color w:val="2F5496" w:themeColor="accent1" w:themeShade="BF"/>
    </w:rPr>
  </w:style>
  <w:style w:type="paragraph" w:styleId="IntenseQuote">
    <w:name w:val="Intense Quote"/>
    <w:basedOn w:val="Normal"/>
    <w:next w:val="Normal"/>
    <w:link w:val="IntenseQuoteChar"/>
    <w:uiPriority w:val="30"/>
    <w:qFormat/>
    <w:rsid w:val="008C489C"/>
    <w:pPr>
      <w:widowControl/>
      <w:pBdr>
        <w:top w:val="single" w:sz="4" w:space="10" w:color="2F5496" w:themeColor="accent1" w:themeShade="BF"/>
        <w:bottom w:val="single" w:sz="4" w:space="10" w:color="2F5496" w:themeColor="accent1" w:themeShade="BF"/>
      </w:pBdr>
      <w:spacing w:before="360" w:after="360" w:line="259" w:lineRule="auto"/>
      <w:ind w:left="864" w:right="864"/>
      <w:jc w:val="center"/>
    </w:pPr>
    <w:rPr>
      <w:i/>
      <w:iCs/>
      <w:color w:val="2F5496" w:themeColor="accent1" w:themeShade="BF"/>
      <w:kern w:val="2"/>
      <w14:ligatures w14:val="standardContextual"/>
    </w:rPr>
  </w:style>
  <w:style w:type="character" w:customStyle="1" w:styleId="IntenseQuoteChar">
    <w:name w:val="Intense Quote Char"/>
    <w:basedOn w:val="DefaultParagraphFont"/>
    <w:link w:val="IntenseQuote"/>
    <w:uiPriority w:val="30"/>
    <w:rsid w:val="008C489C"/>
    <w:rPr>
      <w:i/>
      <w:iCs/>
      <w:color w:val="2F5496" w:themeColor="accent1" w:themeShade="BF"/>
    </w:rPr>
  </w:style>
  <w:style w:type="character" w:styleId="IntenseReference">
    <w:name w:val="Intense Reference"/>
    <w:basedOn w:val="DefaultParagraphFont"/>
    <w:uiPriority w:val="32"/>
    <w:qFormat/>
    <w:rsid w:val="008C489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07074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745</Words>
  <Characters>4250</Characters>
  <Application>Microsoft Office Word</Application>
  <DocSecurity>0</DocSecurity>
  <Lines>35</Lines>
  <Paragraphs>9</Paragraphs>
  <ScaleCrop>false</ScaleCrop>
  <Company/>
  <LinksUpToDate>false</LinksUpToDate>
  <CharactersWithSpaces>4986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Savannah Broddrick</dc:creator>
  <cp:keywords/>
  <dc:description/>
  <cp:lastModifiedBy>Savannah Broddrick</cp:lastModifiedBy>
  <cp:revision>1</cp:revision>
  <dcterms:created xsi:type="dcterms:W3CDTF">2024-07-17T22:52:00Z</dcterms:created>
  <dcterms:modified xsi:type="dcterms:W3CDTF">2024-07-17T22:52:00Z</dcterms:modified>
</cp:coreProperties>
</file>